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Arial" w:cs="Arial" w:eastAsia="Arial" w:hAnsi="Arial"/>
          <w:b/>
          <w:bCs/>
          <w:i w:val="false"/>
          <w:iCs w:val="false"/>
          <w:color w:val="1F3864"/>
          <w:sz w:val="24"/>
          <w:szCs w:val="24"/>
        </w:rPr>
        <w:t xml:space="preserve">DZĪVOKĻU ĪPAŠNIEKU KOPĪBAS LĒMUMA PROJEKTS</w:t>
      </w:r>
    </w:p>
    <w:p>
      <w:pPr>
        <w:spacing w:after="40"/>
      </w:pPr>
      <w:r>
        <w:rPr>
          <w:rFonts w:ascii="Arial" w:cs="Arial" w:eastAsia="Arial" w:hAnsi="Arial"/>
          <w:b/>
          <w:bCs/>
          <w:i/>
          <w:iCs/>
          <w:color w:val="444444"/>
          <w:sz w:val="20"/>
          <w:szCs w:val="20"/>
        </w:rPr>
        <w:t xml:space="preserve">DRAFT DECISION OF THE APARTMENT OWNERS’ COMMUNITY</w:t>
      </w:r>
    </w:p>
    <w:p>
      <w:pPr>
        <w:pBdr>
          <w:bottom w:val="single" w:color="1F3864" w:sz="8" w:space="6"/>
        </w:pBdr>
        <w:spacing w:after="120"/>
      </w:pPr>
      <w:r>
        <w:rPr>
          <w:rFonts w:ascii="Arial" w:cs="Arial" w:eastAsia="Arial" w:hAnsi="Arial"/>
          <w:b w:val="false"/>
          <w:bCs w:val="false"/>
          <w:i w:val="false"/>
          <w:iCs w:val="false"/>
          <w:color w:val="000000"/>
          <w:sz w:val="17"/>
          <w:szCs w:val="17"/>
        </w:rPr>
        <w:t xml:space="preserve">Rīga, Miera iela 95 un Miera iela 95A  ·  Lēmums Nr. ______  ·  Datums ______________</w:t>
      </w:r>
    </w:p>
    <w:p>
      <w:pPr>
        <w:spacing w:after="60"/>
      </w:pPr>
      <w:r>
        <w:rPr>
          <w:rFonts w:ascii="Arial" w:cs="Arial" w:eastAsia="Arial" w:hAnsi="Arial"/>
          <w:b/>
          <w:bCs/>
          <w:i w:val="false"/>
          <w:iCs w:val="false"/>
          <w:color w:val="000000"/>
          <w:sz w:val="18"/>
          <w:szCs w:val="18"/>
        </w:rPr>
        <w:t xml:space="preserve">Priekšmets: </w:t>
      </w:r>
      <w:r>
        <w:rPr>
          <w:rFonts w:ascii="Arial" w:cs="Arial" w:eastAsia="Arial" w:hAnsi="Arial"/>
          <w:b w:val="false"/>
          <w:bCs w:val="false"/>
          <w:i w:val="false"/>
          <w:iCs w:val="false"/>
          <w:color w:val="000000"/>
          <w:sz w:val="18"/>
          <w:szCs w:val="18"/>
        </w:rPr>
        <w:t xml:space="preserve">dzīvokļu īpašnieku tiešsaistes portāla izveide un lietotāju verifikācijas kārtība.</w:t>
      </w:r>
    </w:p>
    <w:p>
      <w:pPr>
        <w:spacing w:after="60"/>
      </w:pPr>
      <w:r>
        <w:rPr>
          <w:rFonts w:ascii="Arial" w:cs="Arial" w:eastAsia="Arial" w:hAnsi="Arial"/>
          <w:b/>
          <w:bCs/>
          <w:i/>
          <w:iCs/>
          <w:color w:val="000000"/>
          <w:sz w:val="18"/>
          <w:szCs w:val="18"/>
        </w:rPr>
        <w:t xml:space="preserve">Subject: </w:t>
      </w:r>
      <w:r>
        <w:rPr>
          <w:rFonts w:ascii="Arial" w:cs="Arial" w:eastAsia="Arial" w:hAnsi="Arial"/>
          <w:b w:val="false"/>
          <w:bCs w:val="false"/>
          <w:i/>
          <w:iCs/>
          <w:color w:val="000000"/>
          <w:sz w:val="18"/>
          <w:szCs w:val="18"/>
        </w:rPr>
        <w:t xml:space="preserve">establishment of the apartment owners’ online portal and the procedure for verifying its users.</w:t>
      </w:r>
    </w:p>
    <w:p>
      <w:pPr>
        <w:spacing w:after="180"/>
      </w:pPr>
      <w:r>
        <w:rPr>
          <w:rFonts w:ascii="Arial" w:cs="Arial" w:eastAsia="Arial" w:hAnsi="Arial"/>
          <w:b/>
          <w:bCs/>
          <w:i w:val="false"/>
          <w:iCs w:val="false"/>
          <w:color w:val="000000"/>
          <w:sz w:val="16"/>
          <w:szCs w:val="16"/>
        </w:rPr>
        <w:t xml:space="preserve">Pieņemšanas veids / Mode of adoption: </w:t>
      </w:r>
      <w:r>
        <w:rPr>
          <w:rFonts w:ascii="Arial" w:cs="Arial" w:eastAsia="Arial" w:hAnsi="Arial"/>
          <w:b w:val="false"/>
          <w:bCs w:val="false"/>
          <w:i w:val="false"/>
          <w:iCs w:val="false"/>
          <w:color w:val="000000"/>
          <w:sz w:val="16"/>
          <w:szCs w:val="16"/>
        </w:rPr>
        <w:t xml:space="preserve">kopsapulcē vai rakstveida aptaujā atbilstoši Dzīvokļa īpašuma likumam; balsis skaita pēc domājamām daļām. / At a general meeting or by written ballot under the Law on Residential Properties; votes counted by ideal share.</w:t>
      </w:r>
    </w:p>
    <w:tbl>
      <w:tblPr>
        <w:tblW w:type="dxa" w:w="9906"/>
        <w:tblBorders>
          <w:top w:val="none" w:color="FFFFFF" w:sz="0"/>
          <w:left w:val="none" w:color="FFFFFF" w:sz="0"/>
          <w:bottom w:val="none" w:color="FFFFFF" w:sz="0"/>
          <w:right w:val="none" w:color="FFFFFF" w:sz="0"/>
          <w:insideH w:val="single" w:color="E4E7F0" w:sz="2"/>
          <w:insideV w:val="single" w:color="C9CEDD" w:sz="2"/>
        </w:tblBorders>
      </w:tblPr>
      <w:tblGrid>
        <w:gridCol w:w="4953"/>
        <w:gridCol w:w="4953"/>
      </w:tblGrid>
      <w:tr>
        <w:trPr>
          <w:tblHeader/>
        </w:trPr>
        <w:tc>
          <w:tcPr>
            <w:tcW w:type="dxa" w:w="4953"/>
            <w:shd w:fill="1F3864" w:color="auto" w:val="clear"/>
            <w:tcMar>
              <w:top w:type="dxa" w:w="40"/>
              <w:left w:type="dxa" w:w="100"/>
              <w:bottom w:type="dxa" w:w="40"/>
              <w:right w:type="dxa" w:w="100"/>
            </w:tcMar>
            <w:vAlign w:val="top"/>
          </w:tcPr>
          <w:p>
            <w:pPr>
              <w:spacing w:after="60" w:before="30"/>
              <w:jc w:val="left"/>
            </w:pPr>
            <w:r>
              <w:rPr>
                <w:rFonts w:ascii="Arial" w:cs="Arial" w:eastAsia="Arial" w:hAnsi="Arial"/>
                <w:b/>
                <w:bCs/>
                <w:i w:val="false"/>
                <w:iCs w:val="false"/>
                <w:color w:val="FFFFFF"/>
                <w:sz w:val="17"/>
                <w:szCs w:val="17"/>
              </w:rPr>
              <w:t xml:space="preserve">LATVISKI — noteicošā redakcija</w:t>
            </w:r>
          </w:p>
        </w:tc>
        <w:tc>
          <w:tcPr>
            <w:tcW w:type="dxa" w:w="4953"/>
            <w:shd w:fill="1F3864" w:color="auto" w:val="clear"/>
            <w:tcMar>
              <w:top w:type="dxa" w:w="40"/>
              <w:left w:type="dxa" w:w="100"/>
              <w:bottom w:type="dxa" w:w="40"/>
              <w:right w:type="dxa" w:w="100"/>
            </w:tcMar>
            <w:vAlign w:val="top"/>
          </w:tcPr>
          <w:p>
            <w:pPr>
              <w:spacing w:after="60" w:before="30"/>
              <w:jc w:val="left"/>
            </w:pPr>
            <w:r>
              <w:rPr>
                <w:rFonts w:ascii="Arial" w:cs="Arial" w:eastAsia="Arial" w:hAnsi="Arial"/>
                <w:b/>
                <w:bCs/>
                <w:i/>
                <w:iCs/>
                <w:color w:val="FFFFFF"/>
                <w:sz w:val="17"/>
                <w:szCs w:val="17"/>
              </w:rPr>
              <w:t xml:space="preserve">ENGLISH — unofficial translation</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1. Portāla izveide</w:t>
            </w:r>
          </w:p>
          <w:p>
            <w:pPr>
              <w:spacing w:after="90" w:before="30"/>
              <w:jc w:val="left"/>
            </w:pPr>
            <w:r>
              <w:rPr>
                <w:rFonts w:ascii="Arial" w:cs="Arial" w:eastAsia="Arial" w:hAnsi="Arial"/>
                <w:b w:val="false"/>
                <w:bCs w:val="false"/>
                <w:i w:val="false"/>
                <w:iCs w:val="false"/>
                <w:color w:val="000000"/>
                <w:sz w:val="16"/>
                <w:szCs w:val="16"/>
              </w:rPr>
              <w:t xml:space="preserve">Izveidot dzīvokļu īpašnieku un iedzīvotāju tiešsaistes portālu mājām Miera ielā 95 un Miera ielā 95A. Portāls kalpo informācijas apritei, dokumentu pieejamībai un pieteikumu izsekošanai. Portāls neaizstāj normatīvajos aktos noteikto lēmumu pieņemšanas kārtību.</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1. Establishment of the portal</w:t>
            </w:r>
          </w:p>
          <w:p>
            <w:pPr>
              <w:spacing w:after="90" w:before="30"/>
              <w:jc w:val="left"/>
            </w:pPr>
            <w:r>
              <w:rPr>
                <w:rFonts w:ascii="Arial" w:cs="Arial" w:eastAsia="Arial" w:hAnsi="Arial"/>
                <w:b w:val="false"/>
                <w:bCs w:val="false"/>
                <w:i/>
                <w:iCs/>
                <w:color w:val="000000"/>
                <w:sz w:val="16"/>
                <w:szCs w:val="16"/>
              </w:rPr>
              <w:t xml:space="preserve">An online portal is established for the apartment owners and residents of the buildings at Miera iela 95 and Miera iela 95A. The portal serves information flow, document access and issue tracking. It does not replace the decision-making procedure laid down in law.</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2. Piekļuves līmeņi</w:t>
            </w:r>
          </w:p>
          <w:p>
            <w:pPr>
              <w:spacing w:after="90" w:before="30"/>
              <w:jc w:val="left"/>
            </w:pPr>
            <w:r>
              <w:rPr>
                <w:rFonts w:ascii="Arial" w:cs="Arial" w:eastAsia="Arial" w:hAnsi="Arial"/>
                <w:b w:val="false"/>
                <w:bCs w:val="false"/>
                <w:i w:val="false"/>
                <w:iCs w:val="false"/>
                <w:color w:val="000000"/>
                <w:sz w:val="16"/>
                <w:szCs w:val="16"/>
              </w:rPr>
              <w:t xml:space="preserve">Nosaka trīs piekļuves līmeņus: (a) publisks — mājas identifikācija, avārijas kontakti, pārvaldīšanas atbildības sadalījums; (b) iedzīvotājs — paziņojumi, ārkārtas rīcības plāns, pieteikumu iesniegšana; (c) īpašnieks — finanšu dokumenti, līgumi, protokoli, balsojumi, tehniskā dokumentācija.</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2. Access tiers</w:t>
            </w:r>
          </w:p>
          <w:p>
            <w:pPr>
              <w:spacing w:after="90" w:before="30"/>
              <w:jc w:val="left"/>
            </w:pPr>
            <w:r>
              <w:rPr>
                <w:rFonts w:ascii="Arial" w:cs="Arial" w:eastAsia="Arial" w:hAnsi="Arial"/>
                <w:b w:val="false"/>
                <w:bCs w:val="false"/>
                <w:i/>
                <w:iCs/>
                <w:color w:val="000000"/>
                <w:sz w:val="16"/>
                <w:szCs w:val="16"/>
              </w:rPr>
              <w:t xml:space="preserve">Three tiers are established: (a) public — building identification, emergency contacts, allocation of management responsibility; (b) resident — notices, emergency plan, submission of issues; (c) owner — financial documents, contracts, minutes, ballots, technical records.</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3. Verifikācija pēc Zemesgrāmatas datiem</w:t>
            </w:r>
          </w:p>
          <w:p>
            <w:pPr>
              <w:spacing w:after="90" w:before="30"/>
              <w:jc w:val="left"/>
            </w:pPr>
            <w:r>
              <w:rPr>
                <w:rFonts w:ascii="Arial" w:cs="Arial" w:eastAsia="Arial" w:hAnsi="Arial"/>
                <w:b w:val="false"/>
                <w:bCs w:val="false"/>
                <w:i w:val="false"/>
                <w:iCs w:val="false"/>
                <w:color w:val="000000"/>
                <w:sz w:val="16"/>
                <w:szCs w:val="16"/>
              </w:rPr>
              <w:t xml:space="preserve">Īpašnieka līmeņa piekļuvi piešķir, salīdzinot pieteicēja norādīto zemesgrāmatas nodalījuma numuru, dzīvokļa īpašuma numuru un domājamo daļu ar spēkā esošajiem Zemesgrāmatas datiem. Neatbilstības gadījumā piekļuvi nepiešķir un pieteicēju informē rakstveidā, norādot neatbilstības iemeslu.</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3. Verification against the Land Register</w:t>
            </w:r>
          </w:p>
          <w:p>
            <w:pPr>
              <w:spacing w:after="90" w:before="30"/>
              <w:jc w:val="left"/>
            </w:pPr>
            <w:r>
              <w:rPr>
                <w:rFonts w:ascii="Arial" w:cs="Arial" w:eastAsia="Arial" w:hAnsi="Arial"/>
                <w:b w:val="false"/>
                <w:bCs w:val="false"/>
                <w:i/>
                <w:iCs/>
                <w:color w:val="000000"/>
                <w:sz w:val="16"/>
                <w:szCs w:val="16"/>
              </w:rPr>
              <w:t xml:space="preserve">Owner-tier access is granted by matching the applicant’s stated land-register folio number, apartment property number and ideal share against current Land Register data. Where these do not match, access is refused and the applicant is notified in writing, stating the reason.</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4. Autentifikācija ar eParakstu</w:t>
            </w:r>
          </w:p>
          <w:p>
            <w:pPr>
              <w:spacing w:after="90" w:before="30"/>
              <w:jc w:val="left"/>
            </w:pPr>
            <w:r>
              <w:rPr>
                <w:rFonts w:ascii="Arial" w:cs="Arial" w:eastAsia="Arial" w:hAnsi="Arial"/>
                <w:b w:val="false"/>
                <w:bCs w:val="false"/>
                <w:i w:val="false"/>
                <w:iCs w:val="false"/>
                <w:color w:val="000000"/>
                <w:sz w:val="16"/>
                <w:szCs w:val="16"/>
              </w:rPr>
              <w:t xml:space="preserve">Pieteikumu paraksta ar eParaksts mobile vai eID karti. Autentifikācija portālā notiek ar to pašu līdzekli. Lietotājvārda un paroles autentifikācija pieļaujama tikai iedzīvotāja līmenim. Katru pieteikumu un piekļuves piešķīrumu reģistrē žurnālā, ko glabā piecus gadus.</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4. Authentication by eParaksts</w:t>
            </w:r>
          </w:p>
          <w:p>
            <w:pPr>
              <w:spacing w:after="90" w:before="30"/>
              <w:jc w:val="left"/>
            </w:pPr>
            <w:r>
              <w:rPr>
                <w:rFonts w:ascii="Arial" w:cs="Arial" w:eastAsia="Arial" w:hAnsi="Arial"/>
                <w:b w:val="false"/>
                <w:bCs w:val="false"/>
                <w:i/>
                <w:iCs/>
                <w:color w:val="000000"/>
                <w:sz w:val="16"/>
                <w:szCs w:val="16"/>
              </w:rPr>
              <w:t xml:space="preserve">Applications are signed with eParaksts mobile or an eID card, and the same means is used for logging in. Username-and-password authentication is permitted for the resident tier only. Every application and grant of access is entered in a log retained for five years.</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5. Viens konts uz vienu dzīvokļa īpašumu</w:t>
            </w:r>
          </w:p>
          <w:p>
            <w:pPr>
              <w:spacing w:after="90" w:before="30"/>
              <w:jc w:val="left"/>
            </w:pPr>
            <w:r>
              <w:rPr>
                <w:rFonts w:ascii="Arial" w:cs="Arial" w:eastAsia="Arial" w:hAnsi="Arial"/>
                <w:b w:val="false"/>
                <w:bCs w:val="false"/>
                <w:i w:val="false"/>
                <w:iCs w:val="false"/>
                <w:color w:val="000000"/>
                <w:sz w:val="16"/>
                <w:szCs w:val="16"/>
              </w:rPr>
              <w:t xml:space="preserve">Katram dzīvokļa īpašumam atbilst viens balsstiesīgs konts. Kopīpašuma gadījumā kopīpašnieki rakstveidā norāda vienu pilnvaroto pārstāvi; pārējie kopīpašnieki saņem lasīšanas piekļuvi. Ja vienošanās nav iesniegta, konts darbojas tikai lasīšanas režīmā līdz tās iesniegšanai.</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5. One account per apartment property</w:t>
            </w:r>
          </w:p>
          <w:p>
            <w:pPr>
              <w:spacing w:after="90" w:before="30"/>
              <w:jc w:val="left"/>
            </w:pPr>
            <w:r>
              <w:rPr>
                <w:rFonts w:ascii="Arial" w:cs="Arial" w:eastAsia="Arial" w:hAnsi="Arial"/>
                <w:b w:val="false"/>
                <w:bCs w:val="false"/>
                <w:i/>
                <w:iCs/>
                <w:color w:val="000000"/>
                <w:sz w:val="16"/>
                <w:szCs w:val="16"/>
              </w:rPr>
              <w:t xml:space="preserve">Each apartment property corresponds to one voting account. Where a property is co-owned, the co-owners designate one authorised representative in writing; the remaining co-owners receive read access. Absent such a designation, the account operates in read-only mode until one is filed.</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6. Īrnieku konti</w:t>
            </w:r>
          </w:p>
          <w:p>
            <w:pPr>
              <w:spacing w:after="90" w:before="30"/>
              <w:jc w:val="left"/>
            </w:pPr>
            <w:r>
              <w:rPr>
                <w:rFonts w:ascii="Arial" w:cs="Arial" w:eastAsia="Arial" w:hAnsi="Arial"/>
                <w:b w:val="false"/>
                <w:bCs w:val="false"/>
                <w:i w:val="false"/>
                <w:iCs w:val="false"/>
                <w:color w:val="000000"/>
                <w:sz w:val="16"/>
                <w:szCs w:val="16"/>
              </w:rPr>
              <w:t xml:space="preserve">Iedzīvotāja līmeņa kontu izveido pēc attiecīgā dzīvokļa īpašnieka apstiprinājuma. Konts dod tiesības saņemt paziņojumus un iesniegt pieteikumus, bet ne balsot un ne piekļūt finanšu dokumentiem. Piekļuve automātiski beidzas, izbeidzoties īres attiecībām vai pēc īpašnieka rakstveida atsaukuma.</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6. Tenant accounts</w:t>
            </w:r>
          </w:p>
          <w:p>
            <w:pPr>
              <w:spacing w:after="90" w:before="30"/>
              <w:jc w:val="left"/>
            </w:pPr>
            <w:r>
              <w:rPr>
                <w:rFonts w:ascii="Arial" w:cs="Arial" w:eastAsia="Arial" w:hAnsi="Arial"/>
                <w:b w:val="false"/>
                <w:bCs w:val="false"/>
                <w:i/>
                <w:iCs/>
                <w:color w:val="000000"/>
                <w:sz w:val="16"/>
                <w:szCs w:val="16"/>
              </w:rPr>
              <w:t xml:space="preserve">A resident-tier account is created on confirmation by the owner of the apartment concerned. It carries the right to receive notices and submit issues, but not to vote or to access financial documents. Access lapses automatically when the tenancy ends or upon the owner’s written withdrawal.</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7. Balsošana pēc domājamām daļām</w:t>
            </w:r>
          </w:p>
          <w:p>
            <w:pPr>
              <w:spacing w:after="90" w:before="30"/>
              <w:jc w:val="left"/>
            </w:pPr>
            <w:r>
              <w:rPr>
                <w:rFonts w:ascii="Arial" w:cs="Arial" w:eastAsia="Arial" w:hAnsi="Arial"/>
                <w:b w:val="false"/>
                <w:bCs w:val="false"/>
                <w:i w:val="false"/>
                <w:iCs w:val="false"/>
                <w:color w:val="000000"/>
                <w:sz w:val="16"/>
                <w:szCs w:val="16"/>
              </w:rPr>
              <w:t xml:space="preserve">Portāla aptaujās balsis skaita pēc domājamām daļām, nevis pēc kontu skaita. Rezultātus publicē pa dzīvokļu īpašumiem un daļām, norādot kvorumu. Portāla balsojums pats par sevi ir aptaujas raksturs; juridiski saistošs lēmums rodas tikai tad, ja balsošana notikusi Dzīvokļa īpašuma likumā noteiktajā rakstveida kārtībā vai BIS.</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7. Voting weighted by ideal share</w:t>
            </w:r>
          </w:p>
          <w:p>
            <w:pPr>
              <w:spacing w:after="90" w:before="30"/>
              <w:jc w:val="left"/>
            </w:pPr>
            <w:r>
              <w:rPr>
                <w:rFonts w:ascii="Arial" w:cs="Arial" w:eastAsia="Arial" w:hAnsi="Arial"/>
                <w:b w:val="false"/>
                <w:bCs w:val="false"/>
                <w:i/>
                <w:iCs/>
                <w:color w:val="000000"/>
                <w:sz w:val="16"/>
                <w:szCs w:val="16"/>
              </w:rPr>
              <w:t xml:space="preserve">In portal ballots, votes are counted by ideal share, not by number of accounts. Results are published by apartment property and share, stating the quorum reached. A portal ballot is in itself consultative; a legally binding decision arises only where the vote has been conducted in the written procedure prescribed by the Law on Residential Properties or through the BIS system.</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8. Datu apstrāde</w:t>
            </w:r>
          </w:p>
          <w:p>
            <w:pPr>
              <w:spacing w:after="90" w:before="30"/>
              <w:jc w:val="left"/>
            </w:pPr>
            <w:r>
              <w:rPr>
                <w:rFonts w:ascii="Arial" w:cs="Arial" w:eastAsia="Arial" w:hAnsi="Arial"/>
                <w:b w:val="false"/>
                <w:bCs w:val="false"/>
                <w:i w:val="false"/>
                <w:iCs w:val="false"/>
                <w:color w:val="000000"/>
                <w:sz w:val="16"/>
                <w:szCs w:val="16"/>
              </w:rPr>
              <w:t xml:space="preserve">Portālā apstrādā minimālu datu apjomu: vārds, uzvārds, dzīvokļa īpašuma numurs, domājamā daļa, elektroniskā pasta adrese. Portālā nepublicē personas kodus, parādu summas pie konkrētiem vārdiem, īres līgumus un personu identifikācijas dokumentus. Pārzinis ir Biedrība “Miera 95”; dati glabājami Eiropas Savienībā.</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8. Data processing</w:t>
            </w:r>
          </w:p>
          <w:p>
            <w:pPr>
              <w:spacing w:after="90" w:before="30"/>
              <w:jc w:val="left"/>
            </w:pPr>
            <w:r>
              <w:rPr>
                <w:rFonts w:ascii="Arial" w:cs="Arial" w:eastAsia="Arial" w:hAnsi="Arial"/>
                <w:b w:val="false"/>
                <w:bCs w:val="false"/>
                <w:i/>
                <w:iCs/>
                <w:color w:val="000000"/>
                <w:sz w:val="16"/>
                <w:szCs w:val="16"/>
              </w:rPr>
              <w:t xml:space="preserve">The portal processes a minimum data set: given name, surname, apartment property number, ideal share, e-mail address. Personal identity codes, arrears attributed to named persons, tenancy agreements and identity documents are not published on the portal. The controller is Biedrība “Miera 95”; data are stored within the European Union.</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9. Piekļuves izbeigšana</w:t>
            </w:r>
          </w:p>
          <w:p>
            <w:pPr>
              <w:spacing w:after="90" w:before="30"/>
              <w:jc w:val="left"/>
            </w:pPr>
            <w:r>
              <w:rPr>
                <w:rFonts w:ascii="Arial" w:cs="Arial" w:eastAsia="Arial" w:hAnsi="Arial"/>
                <w:b w:val="false"/>
                <w:bCs w:val="false"/>
                <w:i w:val="false"/>
                <w:iCs w:val="false"/>
                <w:color w:val="000000"/>
                <w:sz w:val="16"/>
                <w:szCs w:val="16"/>
              </w:rPr>
              <w:t xml:space="preserve">Zaudējot īpašuma tiesības, īpašnieka līmeņa piekļuvi atceļ desmit dienu laikā no ziņu saņemšanas. Iepriekšējais īpašnieks saglabā tiesības saņemt to dokumentu kopijas, kas attiecas uz viņa īpašuma tiesību periodu.</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9. Termination of access</w:t>
            </w:r>
          </w:p>
          <w:p>
            <w:pPr>
              <w:spacing w:after="90" w:before="30"/>
              <w:jc w:val="left"/>
            </w:pPr>
            <w:r>
              <w:rPr>
                <w:rFonts w:ascii="Arial" w:cs="Arial" w:eastAsia="Arial" w:hAnsi="Arial"/>
                <w:b w:val="false"/>
                <w:bCs w:val="false"/>
                <w:i/>
                <w:iCs/>
                <w:color w:val="000000"/>
                <w:sz w:val="16"/>
                <w:szCs w:val="16"/>
              </w:rPr>
              <w:t xml:space="preserve">On loss of title, owner-tier access is revoked within ten days of notification. A former owner retains the right to obtain copies of documents relating to the period of that ownership.</w:t>
            </w:r>
          </w:p>
        </w:tc>
      </w:tr>
      <w:tr>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val="false"/>
                <w:iCs w:val="false"/>
                <w:color w:val="1F3864"/>
                <w:sz w:val="17"/>
                <w:szCs w:val="17"/>
              </w:rPr>
              <w:t xml:space="preserve">10. Administrēšana un pārskatatbildība</w:t>
            </w:r>
          </w:p>
          <w:p>
            <w:pPr>
              <w:spacing w:after="90" w:before="30"/>
              <w:jc w:val="left"/>
            </w:pPr>
            <w:r>
              <w:rPr>
                <w:rFonts w:ascii="Arial" w:cs="Arial" w:eastAsia="Arial" w:hAnsi="Arial"/>
                <w:b w:val="false"/>
                <w:bCs w:val="false"/>
                <w:i w:val="false"/>
                <w:iCs w:val="false"/>
                <w:color w:val="000000"/>
                <w:sz w:val="16"/>
                <w:szCs w:val="16"/>
              </w:rPr>
              <w:t xml:space="preserve">Valde ieceļ divus administratorus, no kuriem vismaz viens nav valdes loceklis. Visas piekļuves izmaiņas un dokumentu dzēšanu reģistrē nemaināmā žurnālā, kas pieejams ikvienam īpašnieka līmeņa lietotājam. Portāla darbību pārskata pēc divpadsmit mēnešiem.</w:t>
            </w:r>
          </w:p>
        </w:tc>
        <w:tc>
          <w:tcPr>
            <w:tcW w:type="dxa" w:w="4953"/>
            <w:tcMar>
              <w:top w:type="dxa" w:w="40"/>
              <w:left w:type="dxa" w:w="100"/>
              <w:bottom w:type="dxa" w:w="40"/>
              <w:right w:type="dxa" w:w="100"/>
            </w:tcMar>
            <w:vAlign w:val="top"/>
          </w:tcPr>
          <w:p>
            <w:pPr>
              <w:spacing w:after="30" w:before="90"/>
              <w:jc w:val="left"/>
            </w:pPr>
            <w:r>
              <w:rPr>
                <w:rFonts w:ascii="Arial" w:cs="Arial" w:eastAsia="Arial" w:hAnsi="Arial"/>
                <w:b/>
                <w:bCs/>
                <w:i/>
                <w:iCs/>
                <w:color w:val="1F3864"/>
                <w:sz w:val="17"/>
                <w:szCs w:val="17"/>
              </w:rPr>
              <w:t xml:space="preserve">10. Administration and accountability</w:t>
            </w:r>
          </w:p>
          <w:p>
            <w:pPr>
              <w:spacing w:after="90" w:before="30"/>
              <w:jc w:val="left"/>
            </w:pPr>
            <w:r>
              <w:rPr>
                <w:rFonts w:ascii="Arial" w:cs="Arial" w:eastAsia="Arial" w:hAnsi="Arial"/>
                <w:b w:val="false"/>
                <w:bCs w:val="false"/>
                <w:i/>
                <w:iCs/>
                <w:color w:val="000000"/>
                <w:sz w:val="16"/>
                <w:szCs w:val="16"/>
              </w:rPr>
              <w:t xml:space="preserve">The board appoints two administrators, at least one of whom is not a board member. All changes of access and any deletion of documents are recorded in an immutable log available to every owner-tier user. The operation of the portal is reviewed after twelve months.</w:t>
            </w:r>
          </w:p>
        </w:tc>
      </w:tr>
    </w:tbl>
    <w:p>
      <w:pPr>
        <w:spacing w:after="100" w:before="240"/>
      </w:pPr>
      <w:r>
        <w:rPr>
          <w:rFonts w:ascii="Arial" w:cs="Arial" w:eastAsia="Arial" w:hAnsi="Arial"/>
          <w:b/>
          <w:bCs/>
          <w:i w:val="false"/>
          <w:iCs w:val="false"/>
          <w:color w:val="1F3864"/>
          <w:sz w:val="18"/>
          <w:szCs w:val="18"/>
        </w:rPr>
        <w:t xml:space="preserve">BALSOJUMS UN PARAKSTI / VOTE AND SIGNATURES</w:t>
      </w:r>
    </w:p>
    <w:tbl>
      <w:tblPr>
        <w:tblW w:type="dxa" w:w="9906"/>
        <w:tblBorders>
          <w:top w:val="single" w:color="C9CEDD" w:sz="2"/>
          <w:left w:val="single" w:color="C9CEDD" w:sz="2"/>
          <w:bottom w:val="single" w:color="C9CEDD" w:sz="2"/>
          <w:right w:val="single" w:color="C9CEDD" w:sz="2"/>
          <w:insideH w:val="single" w:color="C9CEDD" w:sz="2"/>
          <w:insideV w:val="single" w:color="C9CEDD" w:sz="2"/>
        </w:tblBorders>
      </w:tblPr>
      <w:tblGrid>
        <w:gridCol w:w="3200"/>
        <w:gridCol w:w="3300"/>
        <w:gridCol w:w="3406"/>
      </w:tblGrid>
      <w:tr>
        <w:tc>
          <w:tcPr>
            <w:tcW w:type="dxa" w:w="3200"/>
            <w:shd w:fill="1F3864" w:color="auto" w:val="clear"/>
            <w:tcMar>
              <w:top w:type="dxa" w:w="60"/>
              <w:left w:type="dxa" w:w="80"/>
              <w:bottom w:type="dxa" w:w="60"/>
              <w:right w:type="dxa" w:w="80"/>
            </w:tcMar>
          </w:tcPr>
          <w:p>
            <w:pPr>
              <w:spacing w:after="60" w:before="30"/>
              <w:jc w:val="left"/>
            </w:pPr>
            <w:r>
              <w:rPr>
                <w:rFonts w:ascii="Arial" w:cs="Arial" w:eastAsia="Arial" w:hAnsi="Arial"/>
                <w:b/>
                <w:bCs/>
                <w:i w:val="false"/>
                <w:iCs w:val="false"/>
                <w:color w:val="FFFFFF"/>
                <w:sz w:val="16"/>
                <w:szCs w:val="16"/>
              </w:rPr>
              <w:t xml:space="preserve">Kopējais domājamo daļu apjoms / Total ideal shares</w:t>
            </w:r>
          </w:p>
        </w:tc>
        <w:tc>
          <w:tcPr>
            <w:tcW w:type="dxa" w:w="3300"/>
            <w:shd w:fill="1F3864" w:color="auto" w:val="clear"/>
            <w:tcMar>
              <w:top w:type="dxa" w:w="60"/>
              <w:left w:type="dxa" w:w="80"/>
              <w:bottom w:type="dxa" w:w="60"/>
              <w:right w:type="dxa" w:w="80"/>
            </w:tcMar>
          </w:tcPr>
          <w:p>
            <w:pPr>
              <w:spacing w:after="60" w:before="30"/>
              <w:jc w:val="left"/>
            </w:pPr>
            <w:r>
              <w:rPr>
                <w:rFonts w:ascii="Arial" w:cs="Arial" w:eastAsia="Arial" w:hAnsi="Arial"/>
                <w:b/>
                <w:bCs/>
                <w:i w:val="false"/>
                <w:iCs w:val="false"/>
                <w:color w:val="FFFFFF"/>
                <w:sz w:val="16"/>
                <w:szCs w:val="16"/>
              </w:rPr>
              <w:t xml:space="preserve">Nobalsojuši PAR (daļas / %) / Voted IN FAVOUR (shares / %)</w:t>
            </w:r>
          </w:p>
        </w:tc>
        <w:tc>
          <w:tcPr>
            <w:tcW w:type="dxa" w:w="3406"/>
            <w:shd w:fill="1F3864" w:color="auto" w:val="clear"/>
            <w:tcMar>
              <w:top w:type="dxa" w:w="60"/>
              <w:left w:type="dxa" w:w="80"/>
              <w:bottom w:type="dxa" w:w="60"/>
              <w:right w:type="dxa" w:w="80"/>
            </w:tcMar>
          </w:tcPr>
          <w:p>
            <w:pPr>
              <w:spacing w:after="60" w:before="30"/>
              <w:jc w:val="left"/>
            </w:pPr>
            <w:r>
              <w:rPr>
                <w:rFonts w:ascii="Arial" w:cs="Arial" w:eastAsia="Arial" w:hAnsi="Arial"/>
                <w:b/>
                <w:bCs/>
                <w:i w:val="false"/>
                <w:iCs w:val="false"/>
                <w:color w:val="FFFFFF"/>
                <w:sz w:val="16"/>
                <w:szCs w:val="16"/>
              </w:rPr>
              <w:t xml:space="preserve">Nobalsojuši PRET (daļas / %) / Voted AGAINST (shares / %)</w:t>
            </w:r>
          </w:p>
        </w:tc>
      </w:tr>
      <w:tr>
        <w:tc>
          <w:tcPr>
            <w:tcW w:type="dxa" w:w="3200"/>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
            </w:r>
          </w:p>
        </w:tc>
        <w:tc>
          <w:tcPr>
            <w:tcW w:type="dxa" w:w="3300"/>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
            </w:r>
          </w:p>
        </w:tc>
        <w:tc>
          <w:tcPr>
            <w:tcW w:type="dxa" w:w="3406"/>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
            </w:r>
          </w:p>
        </w:tc>
      </w:tr>
      <w:tr>
        <w:tc>
          <w:tcPr>
            <w:tcW w:type="dxa" w:w="3200"/>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Sapulces vadītājs / Chair
</w:t>
            </w:r>
          </w:p>
        </w:tc>
        <w:tc>
          <w:tcPr>
            <w:tcW w:type="dxa" w:w="3300"/>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Protokolists / Secretary</w:t>
            </w:r>
          </w:p>
        </w:tc>
        <w:tc>
          <w:tcPr>
            <w:tcW w:type="dxa" w:w="3406"/>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Datums / Date</w:t>
            </w:r>
          </w:p>
        </w:tc>
      </w:tr>
      <w:tr>
        <w:tc>
          <w:tcPr>
            <w:tcW w:type="dxa" w:w="3200"/>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_______________________</w:t>
            </w:r>
          </w:p>
        </w:tc>
        <w:tc>
          <w:tcPr>
            <w:tcW w:type="dxa" w:w="3300"/>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_______________________</w:t>
            </w:r>
          </w:p>
        </w:tc>
        <w:tc>
          <w:tcPr>
            <w:tcW w:type="dxa" w:w="3406"/>
            <w:tcMar>
              <w:top w:type="dxa" w:w="60"/>
              <w:left w:type="dxa" w:w="80"/>
              <w:bottom w:type="dxa" w:w="60"/>
              <w:right w:type="dxa" w:w="80"/>
            </w:tcMar>
          </w:tcPr>
          <w:p>
            <w:pPr>
              <w:spacing w:after="60" w:before="30"/>
              <w:jc w:val="left"/>
            </w:pPr>
            <w:r>
              <w:rPr>
                <w:rFonts w:ascii="Arial" w:cs="Arial" w:eastAsia="Arial" w:hAnsi="Arial"/>
                <w:b w:val="false"/>
                <w:bCs w:val="false"/>
                <w:i w:val="false"/>
                <w:iCs w:val="false"/>
                <w:color w:val="000000"/>
                <w:sz w:val="16"/>
                <w:szCs w:val="16"/>
              </w:rPr>
              <w:t xml:space="preserve">_______________________</w:t>
            </w:r>
          </w:p>
        </w:tc>
      </w:tr>
    </w:tbl>
    <w:p>
      <w:pPr>
        <w:spacing w:before="200"/>
      </w:pPr>
      <w:r>
        <w:rPr>
          <w:rFonts w:ascii="Arial" w:cs="Arial" w:eastAsia="Arial" w:hAnsi="Arial"/>
          <w:b w:val="false"/>
          <w:bCs w:val="false"/>
          <w:i/>
          <w:iCs/>
          <w:color w:val="555555"/>
          <w:sz w:val="15"/>
          <w:szCs w:val="15"/>
        </w:rPr>
        <w:t xml:space="preserve">Piezīme. Latviešu redakcija ir noteicošā. Angļu teksts ir neoficiāls tulkojums ērtībai. / Note. The Latvian version governs; the English text is an unofficial translation provided for convenience.</w:t>
      </w:r>
    </w:p>
    <w:sectPr>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7"/>
        <w:szCs w:val="17"/>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Lēmuma projekts par portāla lietotāju verifikāciju</dc:title>
  <dc:creator>Biedrība “Miera 95”</dc:creator>
  <cp:lastModifiedBy>Un-named</cp:lastModifiedBy>
  <cp:revision>1</cp:revision>
  <dcterms:created xsi:type="dcterms:W3CDTF">2026-08-13T12:19:52.365Z</dcterms:created>
  <dcterms:modified xsi:type="dcterms:W3CDTF">2026-08-13T12:19:52.387Z</dcterms:modified>
</cp:coreProperties>
</file>

<file path=docProps/custom.xml><?xml version="1.0" encoding="utf-8"?>
<Properties xmlns="http://schemas.openxmlformats.org/officeDocument/2006/custom-properties" xmlns:vt="http://schemas.openxmlformats.org/officeDocument/2006/docPropsVTypes"/>
</file>