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i w:val="false"/>
          <w:iCs w:val="false"/>
          <w:color w:val="1F3864"/>
          <w:sz w:val="26"/>
          <w:szCs w:val="26"/>
        </w:rPr>
        <w:t xml:space="preserve">PIENĀKUMU SADALĪJUMA MATRICA / DUTY ALLOCATION MATRIX</w:t>
      </w:r>
    </w:p>
    <w:p>
      <w:pPr>
        <w:spacing w:after="60"/>
      </w:pPr>
      <w:r>
        <w:rPr>
          <w:rFonts w:ascii="Arial" w:cs="Arial" w:eastAsia="Arial" w:hAnsi="Arial"/>
          <w:b w:val="false"/>
          <w:bCs w:val="false"/>
          <w:i w:val="false"/>
          <w:iCs w:val="false"/>
          <w:color w:val="000000"/>
          <w:sz w:val="19"/>
          <w:szCs w:val="19"/>
        </w:rPr>
        <w:t xml:space="preserve">Daudzdzīvokļu dzīvojamās mājas Rīgā, Miera ielā 95 un 95A</w:t>
      </w:r>
    </w:p>
    <w:p>
      <w:pPr>
        <w:pBdr>
          <w:bottom w:val="single" w:color="1F3864" w:sz="8" w:space="6"/>
        </w:pBdr>
        <w:spacing w:after="200"/>
      </w:pPr>
      <w:r>
        <w:rPr>
          <w:rFonts w:ascii="Arial" w:cs="Arial" w:eastAsia="Arial" w:hAnsi="Arial"/>
          <w:b w:val="false"/>
          <w:bCs w:val="false"/>
          <w:i/>
          <w:iCs/>
          <w:color w:val="444444"/>
          <w:sz w:val="16"/>
          <w:szCs w:val="16"/>
        </w:rPr>
        <w:t xml:space="preserve">Sagatavots iesniegšanai biedru sapulcē / Prepared for tabling at the members’ meeting  ·  Redakcija / Version 1.0  ·  2026</w:t>
      </w:r>
    </w:p>
    <w:p>
      <w:pPr>
        <w:spacing w:after="120"/>
      </w:pPr>
      <w:r>
        <w:rPr>
          <w:rFonts w:ascii="Arial" w:cs="Arial" w:eastAsia="Arial" w:hAnsi="Arial"/>
          <w:b/>
          <w:bCs/>
          <w:i w:val="false"/>
          <w:iCs w:val="false"/>
          <w:color w:val="000000"/>
          <w:sz w:val="17"/>
          <w:szCs w:val="17"/>
        </w:rPr>
        <w:t xml:space="preserve">Mērķis. </w:t>
      </w:r>
      <w:r>
        <w:rPr>
          <w:rFonts w:ascii="Arial" w:cs="Arial" w:eastAsia="Arial" w:hAnsi="Arial"/>
          <w:b w:val="false"/>
          <w:bCs w:val="false"/>
          <w:i w:val="false"/>
          <w:iCs w:val="false"/>
          <w:color w:val="000000"/>
          <w:sz w:val="17"/>
          <w:szCs w:val="17"/>
        </w:rPr>
        <w:t xml:space="preserve">Nodalīt Biedrības “Miera 95” kā pārvaldnieka pienākumus no SIA “NĪA Nami” sniegtajiem pakalpojumiem un no dzīvokļu īpašnieku kopības kompetences, un uzskaitāmi parādīt, kuri obligātie pienākumi šobrīd nav nevienam piešķirti. Sarkanā krāsā iezīmētie lauki ir sapulces darba kārtība.</w:t>
      </w:r>
    </w:p>
    <w:p>
      <w:pPr>
        <w:spacing w:after="200"/>
      </w:pPr>
      <w:r>
        <w:rPr>
          <w:rFonts w:ascii="Arial" w:cs="Arial" w:eastAsia="Arial" w:hAnsi="Arial"/>
          <w:b/>
          <w:bCs/>
          <w:i/>
          <w:iCs/>
          <w:color w:val="000000"/>
          <w:sz w:val="17"/>
          <w:szCs w:val="17"/>
        </w:rPr>
        <w:t xml:space="preserve">Purpose. </w:t>
      </w:r>
      <w:r>
        <w:rPr>
          <w:rFonts w:ascii="Arial" w:cs="Arial" w:eastAsia="Arial" w:hAnsi="Arial"/>
          <w:b w:val="false"/>
          <w:bCs w:val="false"/>
          <w:i/>
          <w:iCs/>
          <w:color w:val="000000"/>
          <w:sz w:val="17"/>
          <w:szCs w:val="17"/>
        </w:rPr>
        <w:t xml:space="preserve">To separate the duties of Biedrība “Miera 95” as manager from the services supplied by SIA “NĪA Nami” and from the competence of the apartment owners’ community, and to show, item by item, which mandatory duties are at present assigned to no one. The fields marked in red constitute the agenda.</w:t>
      </w:r>
    </w:p>
    <w:tbl>
      <w:tblPr>
        <w:tblW w:type="dxa" w:w="15398"/>
        <w:tblBorders>
          <w:top w:val="single" w:color="9AA0B4" w:sz="4"/>
          <w:left w:val="single" w:color="9AA0B4" w:sz="4"/>
          <w:bottom w:val="single" w:color="9AA0B4" w:sz="4"/>
          <w:right w:val="single" w:color="9AA0B4" w:sz="4"/>
          <w:insideH w:val="single" w:color="BFC4D4" w:sz="2"/>
          <w:insideV w:val="single" w:color="BFC4D4" w:sz="2"/>
        </w:tblBorders>
      </w:tblPr>
      <w:tblGrid>
        <w:gridCol w:w="500"/>
        <w:gridCol w:w="3400"/>
        <w:gridCol w:w="3400"/>
        <w:gridCol w:w="2100"/>
        <w:gridCol w:w="2100"/>
        <w:gridCol w:w="2100"/>
        <w:gridCol w:w="1798"/>
      </w:tblGrid>
      <w:tr>
        <w:trPr>
          <w:tblHeader/>
        </w:trPr>
        <w:tc>
          <w:tcPr>
            <w:tcW w:type="dxa" w:w="5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Nr.</w:t>
            </w:r>
          </w:p>
        </w:tc>
        <w:tc>
          <w:tcPr>
            <w:tcW w:type="dxa" w:w="34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Pienākums (LV)</w:t>
            </w:r>
          </w:p>
        </w:tc>
        <w:tc>
          <w:tcPr>
            <w:tcW w:type="dxa" w:w="34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Duty (EN)</w:t>
            </w:r>
          </w:p>
        </w:tc>
        <w:tc>
          <w:tcPr>
            <w:tcW w:type="dxa" w:w="21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Biedrība “Miera 95”</w:t>
            </w:r>
          </w:p>
          <w:p>
            <w:pPr>
              <w:spacing w:after="20" w:before="20"/>
            </w:pPr>
            <w:r>
              <w:rPr>
                <w:rFonts w:ascii="Arial" w:cs="Arial" w:eastAsia="Arial" w:hAnsi="Arial"/>
                <w:b/>
                <w:bCs/>
                <w:i w:val="false"/>
                <w:iCs w:val="false"/>
                <w:color w:val="FFFFFF"/>
                <w:sz w:val="16"/>
                <w:szCs w:val="16"/>
              </w:rPr>
              <w:t xml:space="preserve">(pārvaldnieks)</w:t>
            </w:r>
          </w:p>
        </w:tc>
        <w:tc>
          <w:tcPr>
            <w:tcW w:type="dxa" w:w="21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SIA “NĪA Nami”</w:t>
            </w:r>
          </w:p>
        </w:tc>
        <w:tc>
          <w:tcPr>
            <w:tcW w:type="dxa" w:w="2100"/>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Dzīvokļu īpašnieki / kopība</w:t>
            </w:r>
          </w:p>
        </w:tc>
        <w:tc>
          <w:tcPr>
            <w:tcW w:type="dxa" w:w="1798"/>
            <w:shd w:fill="1F3864" w:color="auto" w:val="clear"/>
            <w:tcMar>
              <w:top w:type="dxa" w:w="60"/>
              <w:left w:type="dxa" w:w="90"/>
              <w:bottom w:type="dxa" w:w="60"/>
              <w:right w:type="dxa" w:w="90"/>
            </w:tcMar>
            <w:vAlign w:val="top"/>
          </w:tcPr>
          <w:p>
            <w:pPr>
              <w:spacing w:after="20" w:before="20"/>
            </w:pPr>
            <w:r>
              <w:rPr>
                <w:rFonts w:ascii="Arial" w:cs="Arial" w:eastAsia="Arial" w:hAnsi="Arial"/>
                <w:b/>
                <w:bCs/>
                <w:i w:val="false"/>
                <w:iCs w:val="false"/>
                <w:color w:val="FFFFFF"/>
                <w:sz w:val="16"/>
                <w:szCs w:val="16"/>
              </w:rPr>
              <w:t xml:space="preserve">Statuss un avots</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A. PĀRVALDĪŠANAS MANDĀTS</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A. MANDATE TO MANAGE</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Rakstveida pārvaldīšanas līgums, kurā norādīta mājas adrese Miera iela 95</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Written management contract naming the address Miera iela 95</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Pārvaldnieks / Manager</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Statuss neskaidrs — apakšuzņēmējs vai otrs pārvaldnieks? / Status unclear — subcontractor or second manager?</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Apstiprina ar kopības lēmumu / Approves by community decision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DMPL: uzdevumu var uzdot tikai VIENAM pārvaldniekam un to nedrīkst nodot tālāk. Avots: Auders, prezentācija.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Pārvaldīšanas mandāts attiecībā uz Miera iela 95A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Mandate covering Miera iela 95A</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Jāpieņem kopības lēmums / Community decision required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Kontrolsaraksts 2025-08-22: nav kopības lēmuma, nav adreses līgumā, nav statūtu grozījuma.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Reģistrācija Dzīvojamo māju pārvaldnieku reģistrā (BVKB), t.sk. 95A adrese</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Registration in the Housing Managers Register (BVKB), incl. the 95A address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Tiesības pieprasīt izziņu / Right to demand confirmation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Kontrolsaraksts 2025-08-22, 5. punkts. Pārbaudāms bvkb.gov.lv.</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4</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Pārvaldnieka profesionālā kvalifikācija (DMPL 29. pants)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Manager’s professional qualification (DMPL s. 29)</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Tiesības prasīt kvalificēta pārvaldnieka izvēli / Right to demand a qualified manager</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Auders: katrs īpašnieks tiesīgs prasīt kopības lēmumu par kvalificēta pārvaldnieka izvēli.</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5</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Statūtu 2.1. punkta grozījums, iekļaujot Miera iela 95A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Amendment of statutes cl. 2.1 to include Miera iela 95A</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Valde sagatavo / Board prepares</w:t>
            </w:r>
          </w:p>
        </w:tc>
        <w:tc>
          <w:tcPr>
            <w:tcW w:type="dxa" w:w="21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Biedru sapulce lemj / Members’ meeting decides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Redline projekts jau sagatavots: Miera95_checklist_and_redline.docx.</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B. PLĀNOŠANA UN FINANSES</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B. PLANNING AND FINANCE</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6</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Gada pārvaldīšanas darbu plāns un tāme</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Annual management work plan and estimate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Sagatavo / Prepares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Datu sniegšana / Supplies data</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Apstiprina / Approves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DMPL 12. pants — pārvaldīšanas darba plānošana. Publiskošana nav nodrošināta.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7</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Uzkrājumu fonds un tā atlikuma atklāšana īpašniekiem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Reserve fund and disclosure of its balance to owners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Tiesības uz informāciju / Right to information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Nav dokumenta projekta materiālos.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8</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Katra īpašnieka maksājamās daļas aprēķins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Calculation of each owner’s payable share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Aprēķina / Calculates</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Maksā / Pays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DMPL — pārvaldnieka pienākums, ja maksājumi iet caur pārvaldnieku.</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9</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Komunālo pakalpojumu līgumu slēgšana kopības vārdā</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Concluding utility contracts on behalf of the community</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Pārstāv kopību / Represents the community</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Izpilde / Execution</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Pilnvaro / Authorises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Auders: pārvaldnieka pienākums pārstāvēt kopību šo līgumu slēgšanā.</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10</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Finanšu atskaite dzīvokļu īpašniekiem (ieņēmumi, izdevumi, parādi)</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Financial report to apartment owners (income, expenditure, arrears)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Pieprasa / Demands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 prasīts, nav izpildīts.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11</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Divu maksājumu plūsmu nošķiršana: biedrības maksa un apsaimniekošanas maksa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Separation of two payment streams: association fee and management fee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Tiesības uz caurskatāmību / Right to transparency</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Pārklāšanās risks: par vienu un to pašu pakalpojumu rēķina divas personas.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12</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EUR slieksnis vienam darbam, virs kura nepieciešams īpašnieku saskaņojums un atskaite</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EUR threshold per single work above which owner approval and reporting are required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Ievēro / Observes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Ievēro / Observes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Nosaka summu — TUKŠS / Sets the amount — BLANK</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lēmums pieņemts, summa protokolā nav ierakstīta.</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C. PĀRBAUDES UN DROŠĪBA</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C. INSPECTIONS AND SAFETY</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13</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Regulāras ēkas tehniskās apsekošanas un to akti</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Regular technical surveys of the building and the resulting reports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Organizē / Organises</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Ēku uzraugs / Building supervisor</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Piekļuve aktiem / Access to reports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DMPL 12. pants — pārbaužu veikšana. Akti īpašniekiem nav pieejami.</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14</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Skursteņu, dūmvadu un ventilācijas kanālu pārbaude un tīrīšana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Inspection and cleaning of chimneys, flues and ventilation ducts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Iekšējā daļa dzīvoklī / Portion inside the flat</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MK noteikumi par ugunsdrošību. Nav pierādījumu par grafiku vai aktiem.</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15</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Ugunsdrošības prasību izpilde koplietošanas telpās un evakuācijas ceļos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Fire-safety compliance in common areas and escape routes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Netraucē evakuācijas ceļus / Keeps escape routes clear</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Auders: atbilstība ugunsdrošības prasībām ir pienācīgas pārvaldīšanas sastāvdaļa.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16</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Pagraba telpu lietošanas tiesiskums Miera iela 95A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Lawfulness of the use of the cellar premises at Miera iela 95A</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Iesniegums iestādēm iesniegts / Application filed with authorities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Iesniegums_pagrabs_LV_EN — PAD, VUGD, RPP, PMLP. Atbildes gaidāmas.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17</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Avārijas dienesta kontakti un rīcība avārijas situācijās, izsūtīti visiem īpašniekiem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Emergency service contacts and procedure, circulated to every owner</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Uzdots izsūtīt / Tasked to circulate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Saņem / Receives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uzdevums apsaimniekotājam. Nav slēgts.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18</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Civilās aizsardzības plāns un patvertnes izvērtējums pagrabā</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Civil-protection plan and assessment of the cellar as a shelter</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 mērķis formulēts, atbildīgais nav nozīmēts.</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D. UZTURĒŠANA UN REMONTDARBI</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D. MAINTENANCE AND REPAIRS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19</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Fasādes atjaunošana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Façade restoration</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Organizēja / Organised</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Finansē / Funds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SIA VELVE pabeidza darbus laikā. Tāmes īpašniekiem nav izsniegtas.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20</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Teknu tīrīšana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Cleaning of gutters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Uzdots / Tasked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Kontrolē izpildi / Verifies completion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uzdevums apsaimniekotājam. Nav slēgts.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21</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2. kāpņu telpas laukuma betonēšana bez flīzēšanas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Concreting of the 2nd stairwell landing, without tiling</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Uzdots / Tasked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Pieņem darbu / Accepts the work</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uzdevums biedrībai. Nav slēgts.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22</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Divi cenu piedāvājumi ieejas durvju nomaiņai no Lejas ielas puses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Two price quotations for replacing the entrance doors on the Lejas iela side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Uzdots / Tasked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Izvēlas piedāvājumu / Selects the quotation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uzdevums biedrībai. Nav slēgts.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23</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Bruģētā laukuma projekts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Paved-yard project</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Virza / Advances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Nepieciešama 100 % piekrišana / 100 % consent required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projekts saskaņots, piekrišanas nav. Bloķēts.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24</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Videonovērošana pret fasādes bojāšanu</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Video surveillance against damage to the façade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Uzdots uzstādīt butaforijas kameras / Tasked to install dummy cameras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Nosaka kārtību un datu apstrādi / Sets rules and data handling</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Reālu kameru gadījumā vajadzīga VDAR kārtība.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25</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Pagalma vārtu slēdzene un piekļuves kontrole</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Courtyard gate lock and access control</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 ierosināts, atbildīgais nav nozīmēts.</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E. SANITĀRĀ KOPŠANA</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E. SANITARY UPKEEP</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26</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Kāpņu telpu un pagalma uzkopšana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Cleaning of stairwells and the courtyard</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Izpilda / Performs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Ziņo par trūkumiem / Reports shortcomings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DMPL 12. pants — vienīgais pienākums, ko drīkst nodalīt no pārvaldīšanas uzdevuma.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27</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Atkritumu apsaimniekošana un konteineru laukums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Waste management and the bin area</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Līgums un uzraudzība / Contract and oversight</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Šķiro / Sorts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Līgums īpašniekiem nav pieejams.</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F. INFORMĒŠANA, LĒMUMI, PĀRSKATATBILDĪBA</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F. INFORMATION, DECISIONS, ACCOUNTABILITY</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28</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Kopsapulču sasaukšana ne retāk kā divas reizes gadā</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Convening general meetings at least twice a year</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Sasauc / Convenes</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Piedalās / Attends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Piedalās / Attends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pieņemts vienbalsīgi. Kvorums 23 no 86 — nelemttiesīgs.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29</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Protokolu izsniegšana un pastāvīga pieejamība īpašniekiem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Issuing minutes and keeping them permanently available to owners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Tiesības iepazīties (statūti 5.1.2.) / Right of access (statutes 5.1.2)</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prasīti publiski pieejami protokoli. Nav izpildīts.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30</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Mājas lietas kārtošana un uzturēšana BIS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Maintaining the house file in the BIS system</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Piekļuves pieprasīšana / Requesting access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Kontrolsaraksts 2025-08-22, 6. punkts.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31</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Rakstveida aptaujas un balsojumu rezultātu publiskošana pa vārdiem un domājamām daļām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Written ballots and publication of results by name and by ideal share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Balso / Votes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“clear voting and results available”. Nav izpildīts.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32</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Biedru sapulces sasaukšana un valdes ievēlēšana atbilstoši statūtiem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Convening the members’ meeting and electing the board under the statutes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Ievēl valdi / Elects the board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Protokols 26.09.2025: “Statūti, līgumi, valde — nav aktuāls jautājums.” Statūti 8.1.: trīs valdes locekļi.</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33</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Revidenta ievēlēšana uz vienu gadu</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Election of an auditor for a one-year term</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Nodrošina vēlēšanas / Provides for the election</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Ievēl (statūti 9.1.) / Elects (statutes 9.1)</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Statūti 9.1.–9.5. Revidents nav ievēlēts.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34</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Gada pārskats, ko apstiprina tikai pēc revidenta atzinuma saņemšanas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Annual report, approved only after receipt of the auditor’s opinion</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Sagatavo / Prepares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Apstiprina / Approves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Statūti 9.5. Bez revidenta apstiprināšana nav statūtiem atbilstoša.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35</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Problēmu izsekošanas sistēma ar pieteikuma numuru, termiņu un statusu</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Problem-tracking system with ticket number, deadline and status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Portāla galvenā funkcija.</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36</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Ēkas tehnisko dokumentu tiešsaistes pieejamība: skursteņi, ventilācija, ūdensvads, elektrība, gāze</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Online access to building records: chimneys, ventilation, plumbing, electricity, gas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Lieto / Uses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37</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To amatnieku saraksts, kuri strādājuši ēkā, ieteikumiem īpašniekiem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Roster of tradespeople who have worked on the building, for owner referrals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Papildina ar atsauksmēm / Adds feedback</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38</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Kāpņu telpu vecākie (4) un zvanu ķēde ārkārtas situācijām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Stairwell leaders (4) and a phone tree for emergencies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 struktūra aprakstīta, personas nav nozīmētas.</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39</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Jauno īpašnieku un īrnieku uzņemšanas protokols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Welcome protocol for new owners and tenants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40</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Gaisa kondicionētāju un fasādes iekārtu uzstādīšanas kārtība</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Rules for installing air conditioners and other façade-mounted equipment</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Ievēro / Complies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 Skar atjaunoto fasādi.</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41</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Īpašnieku apdrošināšanas prasības</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Owners’ insurance requirements</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Apdrošina / Insures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sapulce.rtf, 19.09.2025.</w:t>
            </w:r>
          </w:p>
        </w:tc>
      </w:tr>
      <w:tr>
        <w:tc>
          <w:tcPr>
            <w:tcW w:type="dxa" w:w="15398"/>
            <w:gridSpan w:val="7"/>
            <w:shd w:fill="D9D9E3" w:color="auto" w:val="clear"/>
            <w:tcMar>
              <w:top w:type="dxa" w:w="70"/>
              <w:left w:type="dxa" w:w="90"/>
              <w:bottom w:type="dxa" w:w="70"/>
              <w:right w:type="dxa" w:w="90"/>
            </w:tcMar>
          </w:tcPr>
          <w:p>
            <w:pPr>
              <w:spacing w:after="20" w:before="20"/>
            </w:pPr>
            <w:r>
              <w:rPr>
                <w:rFonts w:ascii="Arial" w:cs="Arial" w:eastAsia="Arial" w:hAnsi="Arial"/>
                <w:b/>
                <w:bCs/>
                <w:i w:val="false"/>
                <w:iCs w:val="false"/>
                <w:color w:val="000000"/>
                <w:sz w:val="17"/>
                <w:szCs w:val="17"/>
              </w:rPr>
              <w:t xml:space="preserve">G. ĀRĒJĀ ATBILSTĪBA</w:t>
            </w:r>
            <w:r>
              <w:rPr>
                <w:rFonts w:ascii="Arial" w:cs="Arial" w:eastAsia="Arial" w:hAnsi="Arial"/>
                <w:b w:val="false"/>
                <w:bCs w:val="false"/>
                <w:i w:val="false"/>
                <w:iCs w:val="false"/>
                <w:color w:val="000000"/>
                <w:sz w:val="17"/>
                <w:szCs w:val="17"/>
              </w:rPr>
              <w:t xml:space="preserve">   |   </w:t>
            </w:r>
            <w:r>
              <w:rPr>
                <w:rFonts w:ascii="Arial" w:cs="Arial" w:eastAsia="Arial" w:hAnsi="Arial"/>
                <w:b/>
                <w:bCs/>
                <w:i/>
                <w:iCs/>
                <w:color w:val="000000"/>
                <w:sz w:val="17"/>
                <w:szCs w:val="17"/>
              </w:rPr>
              <w:t xml:space="preserve">G. EXTERNAL COMPLIANCE</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42</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Pašvaldības prasības par būvju uzturēšanu; Miera iela 95 statuss grausti.riga.lv</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Municipal requirements on upkeep of structures; status of Miera iela 95 on grausti.riga.lv</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NEPIEŠĶIRTS / UNASSIGNED</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w:t>
            </w:r>
          </w:p>
        </w:tc>
        <w:tc>
          <w:tcPr>
            <w:tcW w:type="dxa" w:w="21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Pieprasa statusa slēgšanu / Demands closure of the status</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Statuss “Izvērtējams”. Aktīva pārvaldīšana jāpierāda pašvaldībai.</w:t>
            </w:r>
          </w:p>
        </w:tc>
      </w:tr>
      <w:tr>
        <w:tc>
          <w:tcPr>
            <w:tcW w:type="dxa" w:w="500"/>
            <w:tcMar>
              <w:top w:type="dxa" w:w="60"/>
              <w:left w:type="dxa" w:w="90"/>
              <w:bottom w:type="dxa" w:w="60"/>
              <w:right w:type="dxa" w:w="90"/>
            </w:tcMar>
            <w:vAlign w:val="top"/>
          </w:tcPr>
          <w:p>
            <w:pPr>
              <w:spacing w:after="20" w:before="20"/>
              <w:jc w:val="left"/>
            </w:pPr>
            <w:r>
              <w:rPr>
                <w:rFonts w:ascii="Arial" w:cs="Arial" w:eastAsia="Arial" w:hAnsi="Arial"/>
                <w:b/>
                <w:bCs/>
                <w:i w:val="false"/>
                <w:iCs w:val="false"/>
                <w:color w:val="000000"/>
                <w:sz w:val="15"/>
                <w:szCs w:val="15"/>
              </w:rPr>
              <w:t xml:space="preserve">43</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Kopības pārstāvība tiesā un attiecībās ar trešajām personām</w:t>
            </w:r>
          </w:p>
        </w:tc>
        <w:tc>
          <w:tcPr>
            <w:tcW w:type="dxa" w:w="34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Representation of the community in court and towards third parties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Pārstāv / Represents</w:t>
            </w:r>
          </w:p>
        </w:tc>
        <w:tc>
          <w:tcPr>
            <w:tcW w:type="dxa" w:w="21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w:t>
            </w:r>
          </w:p>
        </w:tc>
        <w:tc>
          <w:tcPr>
            <w:tcW w:type="dxa" w:w="21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Pilnvaro ar lēmumu / Authorises by decision</w:t>
            </w:r>
          </w:p>
        </w:tc>
        <w:tc>
          <w:tcPr>
            <w:tcW w:type="dxa" w:w="1798"/>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4"/>
                <w:szCs w:val="14"/>
              </w:rPr>
              <w:t xml:space="preserve">Senāta lēmums SKC-222/2026: prasība pret pārvaldnieku ceļama kopībai, nevis atsevišķam īpašniekam.</w:t>
            </w:r>
          </w:p>
        </w:tc>
      </w:tr>
    </w:tbl>
    <w:p>
      <w:pPr>
        <w:spacing w:after="120" w:before="240"/>
      </w:pPr>
      <w:r>
        <w:rPr>
          <w:rFonts w:ascii="Arial" w:cs="Arial" w:eastAsia="Arial" w:hAnsi="Arial"/>
          <w:b/>
          <w:bCs/>
          <w:i w:val="false"/>
          <w:iCs w:val="false"/>
          <w:color w:val="1F3864"/>
          <w:sz w:val="19"/>
          <w:szCs w:val="19"/>
        </w:rPr>
        <w:t xml:space="preserve">APZĪMĒJUMI / LEGEND</w:t>
      </w:r>
    </w:p>
    <w:tbl>
      <w:tblPr>
        <w:tblW w:type="dxa" w:w="11000"/>
        <w:tblBorders>
          <w:top w:val="single" w:color="BFC4D4" w:sz="2"/>
          <w:left w:val="single" w:color="BFC4D4" w:sz="2"/>
          <w:bottom w:val="single" w:color="BFC4D4" w:sz="2"/>
          <w:right w:val="single" w:color="BFC4D4" w:sz="2"/>
          <w:insideH w:val="single" w:color="BFC4D4" w:sz="2"/>
          <w:insideV w:val="single" w:color="BFC4D4" w:sz="2"/>
        </w:tblBorders>
      </w:tblPr>
      <w:tblGrid>
        <w:gridCol w:w="900"/>
        <w:gridCol w:w="4600"/>
        <w:gridCol w:w="900"/>
        <w:gridCol w:w="4600"/>
      </w:tblGrid>
      <w:tr>
        <w:tc>
          <w:tcPr>
            <w:tcW w:type="dxa" w:w="900"/>
            <w:shd w:fill="D9EAD3"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
            </w:r>
          </w:p>
        </w:tc>
        <w:tc>
          <w:tcPr>
            <w:tcW w:type="dxa" w:w="46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Piešķirts un dokumentēts / Assigned and evidenced</w:t>
            </w:r>
          </w:p>
        </w:tc>
        <w:tc>
          <w:tcPr>
            <w:tcW w:type="dxa" w:w="900"/>
            <w:shd w:fill="FCE5CD"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
            </w:r>
          </w:p>
        </w:tc>
        <w:tc>
          <w:tcPr>
            <w:tcW w:type="dxa" w:w="46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Piešķirts, pierādījumi nepilnīgi / Assigned, evidence incomplete</w:t>
            </w:r>
          </w:p>
        </w:tc>
      </w:tr>
      <w:tr>
        <w:tc>
          <w:tcPr>
            <w:tcW w:type="dxa" w:w="900"/>
            <w:shd w:fill="F4CCCC" w:color="auto" w:val="clear"/>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
            </w:r>
          </w:p>
        </w:tc>
        <w:tc>
          <w:tcPr>
            <w:tcW w:type="dxa" w:w="46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Nepiešķirts vai strīdīgs / Unassigned or contested</w:t>
            </w:r>
          </w:p>
        </w:tc>
        <w:tc>
          <w:tcPr>
            <w:tcW w:type="dxa" w:w="900"/>
            <w:tcMar>
              <w:top w:type="dxa" w:w="60"/>
              <w:left w:type="dxa" w:w="90"/>
              <w:bottom w:type="dxa" w:w="60"/>
              <w:right w:type="dxa" w:w="90"/>
            </w:tcMar>
            <w:vAlign w:val="top"/>
          </w:tcPr>
          <w:p>
            <w:pPr>
              <w:spacing w:after="20" w:before="20"/>
              <w:jc w:val="left"/>
            </w:pPr>
            <w:r>
              <w:rPr>
                <w:rFonts w:ascii="Arial" w:cs="Arial" w:eastAsia="Arial" w:hAnsi="Arial"/>
                <w:b w:val="false"/>
                <w:bCs w:val="false"/>
                <w:i w:val="false"/>
                <w:iCs w:val="false"/>
                <w:color w:val="000000"/>
                <w:sz w:val="15"/>
                <w:szCs w:val="15"/>
              </w:rPr>
              <w:t xml:space="preserve"/>
            </w:r>
          </w:p>
        </w:tc>
        <w:tc>
          <w:tcPr>
            <w:tcW w:type="dxa" w:w="4600"/>
            <w:tcMar>
              <w:top w:type="dxa" w:w="60"/>
              <w:left w:type="dxa" w:w="90"/>
              <w:bottom w:type="dxa" w:w="60"/>
              <w:right w:type="dxa" w:w="90"/>
            </w:tcMar>
            <w:vAlign w:val="top"/>
          </w:tcPr>
          <w:p>
            <w:pPr>
              <w:spacing w:after="20" w:before="20"/>
              <w:jc w:val="left"/>
            </w:pPr>
            <w:r>
              <w:rPr>
                <w:rFonts w:ascii="Arial" w:cs="Arial" w:eastAsia="Arial" w:hAnsi="Arial"/>
                <w:b w:val="false"/>
                <w:bCs w:val="false"/>
                <w:i/>
                <w:iCs/>
                <w:color w:val="000000"/>
                <w:sz w:val="15"/>
                <w:szCs w:val="15"/>
              </w:rPr>
              <w:t xml:space="preserve">Kopā sarkano ierakstu: 38 no 43 rindām skar vismaz vienu nepiešķirtu vai strīdīgu lauku. / Red entries appear in 38 of the 43 rows.</w:t>
            </w:r>
          </w:p>
        </w:tc>
      </w:tr>
    </w:tbl>
    <w:p>
      <w:pPr>
        <w:spacing w:after="120" w:before="300"/>
      </w:pPr>
      <w:r>
        <w:rPr>
          <w:rFonts w:ascii="Arial" w:cs="Arial" w:eastAsia="Arial" w:hAnsi="Arial"/>
          <w:b/>
          <w:bCs/>
          <w:i w:val="false"/>
          <w:iCs w:val="false"/>
          <w:color w:val="1F3864"/>
          <w:sz w:val="19"/>
          <w:szCs w:val="19"/>
        </w:rPr>
        <w:t xml:space="preserve">IEROSINĀJUMI BALSOJUMAM / MOTIONS PROPOSED FOR A VOTE</w:t>
      </w:r>
    </w:p>
    <w:p>
      <w:pPr>
        <w:spacing w:after="20" w:before="20"/>
        <w:jc w:val="left"/>
      </w:pPr>
      <w:r>
        <w:rPr>
          <w:rFonts w:ascii="Arial" w:cs="Arial" w:eastAsia="Arial" w:hAnsi="Arial"/>
          <w:b w:val="false"/>
          <w:bCs w:val="false"/>
          <w:i w:val="false"/>
          <w:iCs w:val="false"/>
          <w:color w:val="000000"/>
          <w:sz w:val="17"/>
          <w:szCs w:val="17"/>
        </w:rPr>
        <w:t xml:space="preserve">1. Uzdot valdei divu mēnešu laikā iesniegt kopībai pilnu pārvaldīšanas līgumu un SIA “NĪA Nami” līgumu, norādot, kurš pienākums kuram līgumam atbilst. / Instruct the board to submit both contracts within two months, mapping each duty to a contract.</w:t>
      </w:r>
    </w:p>
    <w:p>
      <w:pPr>
        <w:spacing w:after="20" w:before="20"/>
        <w:jc w:val="left"/>
      </w:pPr>
      <w:r>
        <w:rPr>
          <w:rFonts w:ascii="Arial" w:cs="Arial" w:eastAsia="Arial" w:hAnsi="Arial"/>
          <w:b w:val="false"/>
          <w:bCs w:val="false"/>
          <w:i w:val="false"/>
          <w:iCs w:val="false"/>
          <w:color w:val="000000"/>
          <w:sz w:val="17"/>
          <w:szCs w:val="17"/>
        </w:rPr>
        <w:t xml:space="preserve">2. Ievēlēt revidentu uz vienu gadu atbilstoši statūtu 9.1. punktam un aizliegt gada pārskata apstiprināšanu bez revidenta atzinuma. / Elect an auditor for one year under cl. 9.1 and bar approval of the annual report without the auditor’s opinion.</w:t>
      </w:r>
    </w:p>
    <w:p>
      <w:pPr>
        <w:spacing w:after="20" w:before="20"/>
        <w:jc w:val="left"/>
      </w:pPr>
      <w:r>
        <w:rPr>
          <w:rFonts w:ascii="Arial" w:cs="Arial" w:eastAsia="Arial" w:hAnsi="Arial"/>
          <w:b w:val="false"/>
          <w:bCs w:val="false"/>
          <w:i w:val="false"/>
          <w:iCs w:val="false"/>
          <w:color w:val="000000"/>
          <w:sz w:val="17"/>
          <w:szCs w:val="17"/>
        </w:rPr>
        <w:t xml:space="preserve">3. Ierakstīt protokolā konkrētu EUR summu, virs kuras viens darbs saskaņojams ar īpašniekiem, un atskaite ir obligāta. / Record a specific EUR figure above which a single work requires owner approval and mandatory reporting.</w:t>
      </w:r>
    </w:p>
    <w:p>
      <w:pPr>
        <w:spacing w:after="20" w:before="20"/>
        <w:jc w:val="left"/>
      </w:pPr>
      <w:r>
        <w:rPr>
          <w:rFonts w:ascii="Arial" w:cs="Arial" w:eastAsia="Arial" w:hAnsi="Arial"/>
          <w:b w:val="false"/>
          <w:bCs w:val="false"/>
          <w:i w:val="false"/>
          <w:iCs w:val="false"/>
          <w:color w:val="000000"/>
          <w:sz w:val="17"/>
          <w:szCs w:val="17"/>
        </w:rPr>
        <w:t xml:space="preserve">4. Pieņemt kopības lēmumu par pārvaldīšanas uzdevuma attiecināšanu uz Miera iela 95A un grozīt statūtu 2.1. punktu. / Adopt a community decision extending the management task to Miera iela 95A and amend cl. 2.1 of the statutes.</w:t>
      </w:r>
    </w:p>
    <w:p>
      <w:pPr>
        <w:spacing w:after="20" w:before="20"/>
        <w:jc w:val="left"/>
      </w:pPr>
      <w:r>
        <w:rPr>
          <w:rFonts w:ascii="Arial" w:cs="Arial" w:eastAsia="Arial" w:hAnsi="Arial"/>
          <w:b w:val="false"/>
          <w:bCs w:val="false"/>
          <w:i w:val="false"/>
          <w:iCs w:val="false"/>
          <w:color w:val="000000"/>
          <w:sz w:val="17"/>
          <w:szCs w:val="17"/>
        </w:rPr>
        <w:t xml:space="preserve">5. Izveidot dzīvokļu īpašnieku portālu ar problēmu izsekošanas sistēmu, protokolu arhīvu un tehnisko dokumentu reģistru. / Establish the owners’ portal with a problem tracker, a minutes archive and a register of technical records.</w:t>
      </w:r>
    </w:p>
    <w:p>
      <w:pPr>
        <w:spacing w:after="20" w:before="20"/>
        <w:jc w:val="left"/>
      </w:pPr>
      <w:r>
        <w:rPr>
          <w:rFonts w:ascii="Arial" w:cs="Arial" w:eastAsia="Arial" w:hAnsi="Arial"/>
          <w:b w:val="false"/>
          <w:bCs w:val="false"/>
          <w:i w:val="false"/>
          <w:iCs w:val="false"/>
          <w:color w:val="000000"/>
          <w:sz w:val="17"/>
          <w:szCs w:val="17"/>
        </w:rPr>
        <w:t xml:space="preserve">6. Uzdot pārvaldniekam 30 dienu laikā izsūtīt avārijas dienestu kontaktus un rīcības kārtību visiem īpašniekiem un īrniekiem. / Instruct the manager to circulate emergency contacts and procedure to every owner and tenant within 30 days.</w:t>
      </w:r>
    </w:p>
    <w:p>
      <w:pPr>
        <w:spacing w:after="120" w:before="300"/>
      </w:pPr>
      <w:r>
        <w:rPr>
          <w:rFonts w:ascii="Arial" w:cs="Arial" w:eastAsia="Arial" w:hAnsi="Arial"/>
          <w:b/>
          <w:bCs/>
          <w:i w:val="false"/>
          <w:iCs w:val="false"/>
          <w:color w:val="1F3864"/>
          <w:sz w:val="19"/>
          <w:szCs w:val="19"/>
        </w:rPr>
        <w:t xml:space="preserve">AVOTI / SOURCES</w:t>
      </w:r>
    </w:p>
    <w:p>
      <w:pPr>
        <w:spacing w:after="20" w:before="20"/>
        <w:jc w:val="left"/>
      </w:pPr>
      <w:r>
        <w:rPr>
          <w:rFonts w:ascii="Arial" w:cs="Arial" w:eastAsia="Arial" w:hAnsi="Arial"/>
          <w:b w:val="false"/>
          <w:bCs w:val="false"/>
          <w:i w:val="false"/>
          <w:iCs w:val="false"/>
          <w:color w:val="000000"/>
          <w:sz w:val="16"/>
          <w:szCs w:val="16"/>
        </w:rPr>
        <w:t xml:space="preserve">Statūti Biedrība “Miera 95” (29.04.2009) · Kopīpašnieku sapulces protokols Nr. 2/25, 26.09.2025 · Sapulces protokols 05.03.2025 · Kontrolsaraksts un statūtu grozījums, 22.08.2025 · T. Rossman piezīmes, 19.09.2025 · M. Audera prezentācija par dzīvojamo māju pārvaldīšanu · Iesniegums par pagraba telpām Miera iela 95A.</w:t>
      </w:r>
    </w:p>
    <w:p>
      <w:pPr>
        <w:spacing w:before="120"/>
      </w:pPr>
      <w:r>
        <w:rPr>
          <w:rFonts w:ascii="Arial" w:cs="Arial" w:eastAsia="Arial" w:hAnsi="Arial"/>
          <w:b w:val="false"/>
          <w:bCs w:val="false"/>
          <w:i w:val="false"/>
          <w:iCs w:val="false"/>
          <w:color w:val="000000"/>
          <w:sz w:val="16"/>
          <w:szCs w:val="16"/>
        </w:rPr>
        <w:t xml:space="preserve">Juridiskais pamats / Legal basis:  </w:t>
      </w:r>
      <w:hyperlink w:history="1" r:id="rIdotvwznek6hdav27kjov33">
        <w:r>
          <w:rPr>
            <w:rFonts w:ascii="Arial" w:cs="Arial" w:eastAsia="Arial" w:hAnsi="Arial"/>
            <w:color w:val="1155CC"/>
            <w:sz w:val="15"/>
            <w:szCs w:val="15"/>
            <w:u w:val="single"/>
          </w:rPr>
          <w:t xml:space="preserve">Dzīvokļa īpašuma likums</w:t>
        </w:r>
      </w:hyperlink>
      <w:r>
        <w:rPr>
          <w:rFonts w:ascii="Arial" w:cs="Arial" w:eastAsia="Arial" w:hAnsi="Arial"/>
          <w:b w:val="false"/>
          <w:bCs w:val="false"/>
          <w:i w:val="false"/>
          <w:iCs w:val="false"/>
          <w:color w:val="000000"/>
          <w:sz w:val="16"/>
          <w:szCs w:val="16"/>
        </w:rPr>
        <w:t xml:space="preserve">  ·  </w:t>
      </w:r>
      <w:hyperlink w:history="1" r:id="rIdbihi_33lcnxx1lnkcw8yq">
        <w:r>
          <w:rPr>
            <w:rFonts w:ascii="Arial" w:cs="Arial" w:eastAsia="Arial" w:hAnsi="Arial"/>
            <w:color w:val="1155CC"/>
            <w:sz w:val="15"/>
            <w:szCs w:val="15"/>
            <w:u w:val="single"/>
          </w:rPr>
          <w:t xml:space="preserve">Dzīvojamo māju pārvaldīšanas likums</w:t>
        </w:r>
      </w:hyperlink>
      <w:r>
        <w:rPr>
          <w:rFonts w:ascii="Arial" w:cs="Arial" w:eastAsia="Arial" w:hAnsi="Arial"/>
          <w:b w:val="false"/>
          <w:bCs w:val="false"/>
          <w:i w:val="false"/>
          <w:iCs w:val="false"/>
          <w:color w:val="000000"/>
          <w:sz w:val="16"/>
          <w:szCs w:val="16"/>
        </w:rPr>
        <w:t xml:space="preserve">  ·  </w:t>
      </w:r>
      <w:hyperlink w:history="1" r:id="rId5n7kierm3p5v20-mu-ppi">
        <w:r>
          <w:rPr>
            <w:rFonts w:ascii="Arial" w:cs="Arial" w:eastAsia="Arial" w:hAnsi="Arial"/>
            <w:color w:val="1155CC"/>
            <w:sz w:val="15"/>
            <w:szCs w:val="15"/>
            <w:u w:val="single"/>
          </w:rPr>
          <w:t xml:space="preserve">Biedrību un nodibinājumu likums</w:t>
        </w:r>
      </w:hyperlink>
      <w:r>
        <w:rPr>
          <w:rFonts w:ascii="Arial" w:cs="Arial" w:eastAsia="Arial" w:hAnsi="Arial"/>
          <w:b w:val="false"/>
          <w:bCs w:val="false"/>
          <w:i w:val="false"/>
          <w:iCs w:val="false"/>
          <w:color w:val="000000"/>
          <w:sz w:val="16"/>
          <w:szCs w:val="16"/>
        </w:rPr>
        <w:t xml:space="preserve">  ·  </w:t>
      </w:r>
      <w:hyperlink w:history="1" r:id="rIdhrfisxnxg1qtyci3r-nef">
        <w:r>
          <w:rPr>
            <w:rFonts w:ascii="Arial" w:cs="Arial" w:eastAsia="Arial" w:hAnsi="Arial"/>
            <w:color w:val="1155CC"/>
            <w:sz w:val="15"/>
            <w:szCs w:val="15"/>
            <w:u w:val="single"/>
          </w:rPr>
          <w:t xml:space="preserve">BVKB pārvaldnieku reģistrs</w:t>
        </w:r>
      </w:hyperlink>
    </w:p>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tvwznek6hdav27kjov33" Type="http://schemas.openxmlformats.org/officeDocument/2006/relationships/hyperlink" Target="https://likumi.lv/ta/id/221382-dzivokla-ipasuma-likums" TargetMode="External"/><Relationship Id="rIdbihi_33lcnxx1lnkcw8yq" Type="http://schemas.openxmlformats.org/officeDocument/2006/relationships/hyperlink" Target="https://likumi.lv/ta/id/193573-dzivojamo-maju-parvaldisanas-likums" TargetMode="External"/><Relationship Id="rId5n7kierm3p5v20-mu-ppi" Type="http://schemas.openxmlformats.org/officeDocument/2006/relationships/hyperlink" Target="https://likumi.lv/ta/id/81050-biedribu-un-nodibinajumu-likums" TargetMode="External"/><Relationship Id="rIdhrfisxnxg1qtyci3r-nef" Type="http://schemas.openxmlformats.org/officeDocument/2006/relationships/hyperlink" Target="https://www.bvkb.gov.lv/lv/pakalpojumi/registracija-dzivojamo-maju-parvaldnieku-registr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Pienākumu sadalījuma matrica / Duty Allocation Matrix — Miera iela 95 un 95A</dc:title>
  <dc:creator>Biedrība “Miera 95” — dzīvokļu īpašnieku darba grupa</dc:creator>
  <cp:lastModifiedBy>Un-named</cp:lastModifiedBy>
  <cp:revision>1</cp:revision>
  <dcterms:created xsi:type="dcterms:W3CDTF">2026-08-13T12:17:46.330Z</dcterms:created>
  <dcterms:modified xsi:type="dcterms:W3CDTF">2026-08-13T12:17:46.345Z</dcterms:modified>
</cp:coreProperties>
</file>

<file path=docProps/custom.xml><?xml version="1.0" encoding="utf-8"?>
<Properties xmlns="http://schemas.openxmlformats.org/officeDocument/2006/custom-properties" xmlns:vt="http://schemas.openxmlformats.org/officeDocument/2006/docPropsVTypes"/>
</file>